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90" w:rsidRDefault="00EF1490" w:rsidP="00EF1490">
      <w:pPr>
        <w:outlineLvl w:val="0"/>
        <w:rPr>
          <w:lang w:eastAsia="nb-NO"/>
        </w:rPr>
      </w:pPr>
      <w:r>
        <w:rPr>
          <w:b/>
          <w:bCs/>
          <w:lang w:eastAsia="nb-NO"/>
        </w:rPr>
        <w:t>Fra:</w:t>
      </w:r>
      <w:r>
        <w:rPr>
          <w:lang w:eastAsia="nb-NO"/>
        </w:rPr>
        <w:t xml:space="preserve"> Terje </w:t>
      </w:r>
      <w:proofErr w:type="spellStart"/>
      <w:r>
        <w:rPr>
          <w:lang w:eastAsia="nb-NO"/>
        </w:rPr>
        <w:t>Sundfjord</w:t>
      </w:r>
      <w:proofErr w:type="spellEnd"/>
      <w:r>
        <w:rPr>
          <w:lang w:eastAsia="nb-NO"/>
        </w:rPr>
        <w:t xml:space="preserve"> [</w:t>
      </w:r>
      <w:hyperlink r:id="rId4" w:history="1">
        <w:r>
          <w:rPr>
            <w:rStyle w:val="Hyperkobling"/>
            <w:lang w:eastAsia="nb-NO"/>
          </w:rPr>
          <w:t>mailto:terje.sundfjord@transport.no</w:t>
        </w:r>
      </w:hyperlink>
      <w:r>
        <w:rPr>
          <w:lang w:eastAsia="nb-NO"/>
        </w:rPr>
        <w:t xml:space="preserve">] </w:t>
      </w:r>
      <w:r>
        <w:rPr>
          <w:lang w:eastAsia="nb-NO"/>
        </w:rPr>
        <w:br/>
      </w:r>
      <w:r>
        <w:rPr>
          <w:b/>
          <w:bCs/>
          <w:lang w:eastAsia="nb-NO"/>
        </w:rPr>
        <w:t>Sendt:</w:t>
      </w:r>
      <w:r>
        <w:rPr>
          <w:lang w:eastAsia="nb-NO"/>
        </w:rPr>
        <w:t xml:space="preserve"> 19. mars 2015 09:13</w:t>
      </w:r>
      <w:r>
        <w:rPr>
          <w:lang w:eastAsia="nb-NO"/>
        </w:rPr>
        <w:br/>
      </w:r>
      <w:r>
        <w:rPr>
          <w:b/>
          <w:bCs/>
          <w:lang w:eastAsia="nb-NO"/>
        </w:rPr>
        <w:t>Til:</w:t>
      </w:r>
      <w:r>
        <w:rPr>
          <w:lang w:eastAsia="nb-NO"/>
        </w:rPr>
        <w:t xml:space="preserve"> Riseng Kåre; Hoff Hellik</w:t>
      </w:r>
      <w:r>
        <w:rPr>
          <w:lang w:eastAsia="nb-NO"/>
        </w:rPr>
        <w:br/>
      </w:r>
      <w:r>
        <w:rPr>
          <w:b/>
          <w:bCs/>
          <w:lang w:eastAsia="nb-NO"/>
        </w:rPr>
        <w:t>Emne:</w:t>
      </w:r>
      <w:r>
        <w:rPr>
          <w:lang w:eastAsia="nb-NO"/>
        </w:rPr>
        <w:t xml:space="preserve"> SV: Invitasjon til dialogkonferanse om Ruters prisavtaler onsdag 11. mars kl. 12.00-15.00</w:t>
      </w:r>
    </w:p>
    <w:p w:rsidR="00EF1490" w:rsidRDefault="00EF1490" w:rsidP="00EF1490"/>
    <w:p w:rsidR="00EF1490" w:rsidRDefault="00EF1490" w:rsidP="00EF1490">
      <w:pPr>
        <w:rPr>
          <w:color w:val="1F497D"/>
        </w:rPr>
      </w:pPr>
      <w:r>
        <w:rPr>
          <w:color w:val="1F497D"/>
        </w:rPr>
        <w:t>Hei,</w:t>
      </w:r>
    </w:p>
    <w:p w:rsidR="00EF1490" w:rsidRDefault="00EF1490" w:rsidP="00EF1490">
      <w:pPr>
        <w:rPr>
          <w:color w:val="1F497D"/>
        </w:rPr>
      </w:pPr>
    </w:p>
    <w:p w:rsidR="00EF1490" w:rsidRDefault="00EF1490" w:rsidP="00EF1490">
      <w:pPr>
        <w:rPr>
          <w:color w:val="1F497D"/>
        </w:rPr>
      </w:pPr>
      <w:r>
        <w:rPr>
          <w:color w:val="1F497D"/>
        </w:rPr>
        <w:t>Takk for positivt møte, og er usikker på om dette skal vurderes som et formelt innspill. Det avgjør dere.</w:t>
      </w:r>
    </w:p>
    <w:p w:rsidR="00EF1490" w:rsidRDefault="00EF1490" w:rsidP="00EF1490">
      <w:pPr>
        <w:rPr>
          <w:color w:val="1F497D"/>
        </w:rPr>
      </w:pPr>
    </w:p>
    <w:p w:rsidR="00EF1490" w:rsidRDefault="00EF1490" w:rsidP="00EF1490">
      <w:pPr>
        <w:rPr>
          <w:color w:val="1F497D"/>
        </w:rPr>
      </w:pPr>
      <w:r>
        <w:rPr>
          <w:color w:val="1F497D"/>
        </w:rPr>
        <w:t xml:space="preserve">Jeg har i en annen anledning sett </w:t>
      </w:r>
      <w:proofErr w:type="gramStart"/>
      <w:r>
        <w:rPr>
          <w:color w:val="1F497D"/>
        </w:rPr>
        <w:t>litt  Kommisjonens</w:t>
      </w:r>
      <w:proofErr w:type="gramEnd"/>
      <w:r>
        <w:rPr>
          <w:color w:val="1F497D"/>
        </w:rPr>
        <w:t xml:space="preserve"> retningslinjer for 1370/2007 i forhold til generelle regler.</w:t>
      </w:r>
    </w:p>
    <w:p w:rsidR="00EF1490" w:rsidRDefault="00EF1490" w:rsidP="00EF1490">
      <w:pPr>
        <w:rPr>
          <w:color w:val="1F497D"/>
        </w:rPr>
      </w:pPr>
    </w:p>
    <w:p w:rsidR="00EF1490" w:rsidRDefault="00EF1490" w:rsidP="00EF1490">
      <w:pPr>
        <w:rPr>
          <w:color w:val="1F497D"/>
        </w:rPr>
      </w:pPr>
      <w:r>
        <w:rPr>
          <w:color w:val="1F497D"/>
        </w:rPr>
        <w:t xml:space="preserve">I forhold til det arbeidet dere holder på med når det gjelder å prisavtaler (generelle regler) er det noen avsnitt dere bør vurdere </w:t>
      </w:r>
      <w:proofErr w:type="gramStart"/>
      <w:r>
        <w:rPr>
          <w:color w:val="1F497D"/>
        </w:rPr>
        <w:t>i  Ruters</w:t>
      </w:r>
      <w:proofErr w:type="gramEnd"/>
      <w:r>
        <w:rPr>
          <w:color w:val="1F497D"/>
        </w:rPr>
        <w:t xml:space="preserve"> arbeid.</w:t>
      </w:r>
    </w:p>
    <w:p w:rsidR="00EF1490" w:rsidRDefault="00EF1490" w:rsidP="00EF1490">
      <w:pPr>
        <w:rPr>
          <w:color w:val="1F497D"/>
        </w:rPr>
      </w:pPr>
    </w:p>
    <w:p w:rsidR="00EF1490" w:rsidRPr="00EF1490" w:rsidRDefault="00EF1490" w:rsidP="00EF1490">
      <w:pPr>
        <w:rPr>
          <w:color w:val="1F497D"/>
          <w:lang w:val="da-DK"/>
        </w:rPr>
      </w:pPr>
      <w:r w:rsidRPr="00EF1490">
        <w:rPr>
          <w:color w:val="1F497D"/>
          <w:lang w:val="da-DK"/>
        </w:rPr>
        <w:t xml:space="preserve">Se </w:t>
      </w:r>
      <w:proofErr w:type="spellStart"/>
      <w:r w:rsidRPr="00EF1490">
        <w:rPr>
          <w:color w:val="1F497D"/>
          <w:lang w:val="da-DK"/>
        </w:rPr>
        <w:t>avsnitt</w:t>
      </w:r>
      <w:proofErr w:type="spellEnd"/>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2.2.2. </w:t>
      </w:r>
      <w:r w:rsidRPr="00EF1490">
        <w:rPr>
          <w:rFonts w:ascii="Calibri" w:hAnsi="Calibri"/>
          <w:i/>
          <w:iCs/>
          <w:color w:val="000000"/>
          <w:sz w:val="22"/>
          <w:szCs w:val="22"/>
          <w:lang w:val="da-DK"/>
        </w:rPr>
        <w:t xml:space="preserve">Artikel 2, litra l): Kendetegn og proces for fastlæggelse af generelle regler </w:t>
      </w: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Generelle regler defineres i artikel 2, litra l, som foranstaltninger, som gælder »uden forskelsbehandling for al offentlig personbefordring af samme art inden for et bestemt geografisk område, som en kompetent myndighed har ansvaret for«. Generelle regler er således foranstaltninger vedrørende en eller flere typer offentlig trafikbetjening med jernbane og ad vej, der uden forskelsbehandling indføres ensidigt af offentlige myndigheder for operatører af offentlig trafikbetjening, eller som er omfattet af kontrakter indgået mellem den kompetente myndighed og operatørerne af offentlig trafikbetjening. Foranstaltningen er begrænset til det geografiske område, som en kompetent myndighed har ansvaret for, men dækker ikke nødvendigvis hele det pågældende geografiske område. En generel regel kan også være regional eller national ret, som finder anvendelse på alle eksisterende eller potentielle transportoperatører i en region eller en medlemsstat. Den forhandles derfor normalt ikke med individuelle operatører af offentlig trafikbetjening. Selv om den generelle regel indføres ved en ensidig lov, forhindrer det ikke, at offentlige transportoperatører høres på en gennemsigtig og ikke-diskriminerende måde, inden de generelle regler fastlægges. </w:t>
      </w:r>
    </w:p>
    <w:p w:rsidR="00EF1490" w:rsidRPr="00EF1490" w:rsidRDefault="00EF1490" w:rsidP="00EF1490">
      <w:pPr>
        <w:pStyle w:val="CM4"/>
        <w:spacing w:before="60" w:after="60"/>
        <w:ind w:left="708"/>
        <w:rPr>
          <w:rFonts w:ascii="Calibri" w:hAnsi="Calibri"/>
          <w:color w:val="000000"/>
          <w:sz w:val="22"/>
          <w:szCs w:val="22"/>
          <w:lang w:val="da-DK"/>
        </w:rPr>
      </w:pP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2.2.3. </w:t>
      </w:r>
      <w:r w:rsidRPr="00EF1490">
        <w:rPr>
          <w:rFonts w:ascii="Calibri" w:hAnsi="Calibri"/>
          <w:i/>
          <w:iCs/>
          <w:color w:val="000000"/>
          <w:sz w:val="22"/>
          <w:szCs w:val="22"/>
          <w:lang w:val="da-DK"/>
        </w:rPr>
        <w:t xml:space="preserve">Artikel 3, stk. 2 og 3: Fastlæggelse af generelle regler inden for og uden for en kontrakt om offentlig trafikbetjening. Anvendelsesområde for generelle regler </w:t>
      </w: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I henhold til betragtning 17 i forordning (EF) nr. 1370/2007 kan »de kompetente myndigheder fastsætte sociale og kvalitative kriterier for at opretholde og øge kvalitetskrav til offentlig serviceforpligtelse, f.eks. med hensyn til minimale arbejdsvilkår, passagerers rettigheder, bevægelseshæmmede personers behov, miljøbeskyttelse, passagerers og ansattes sikkerhed samt forpligtelser i kollektive aftaler og andre regler og aftaler vedrørende arbejdspladser og social beskyttelse på det sted, hvor servicen ydes. For at sikre gennemsigtige og sammenlignelige konkurrencevilkår mellem operatører og undgå risiko for social dumping bør de kompetente myndigheder have mulighed for at pålægge specifikke sociale krav og krav til servicens kvalitet«. </w:t>
      </w: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Medlemsstaterne og/eller de kompetente myndigheder kan tilrettelægge offentlig transport gennem generelle regler, såsom love, dekreter og reguleringsmæssige foranstaltninger. Når disse generelle regler omfatter kompensation eller eneret, er der imidlertid en yderligere forpligtelse til at indgå en kontrakt om offentlig trafikbetjening i henhold til artikel 3, stk. 1, i forordning (EF) nr. 1370/2007. Denne forpligtelse gælder ikke, hvis generelle regler omfatter maksimaltakster for samtlige passagerer eller for bestemte passagerkategorier i henhold til </w:t>
      </w:r>
      <w:r w:rsidRPr="00EF1490">
        <w:rPr>
          <w:rFonts w:ascii="Calibri" w:hAnsi="Calibri"/>
          <w:color w:val="000000"/>
          <w:sz w:val="22"/>
          <w:szCs w:val="22"/>
          <w:lang w:val="da-DK"/>
        </w:rPr>
        <w:lastRenderedPageBreak/>
        <w:t xml:space="preserve">forordningens artikel 3, stk. 2. I så fald er der ingen forpligtelse til at indgå kontrakter om offentlig trafikbetjening, og kompensationsmekanismen kan defineres på et ikke-diskriminerende generelt </w:t>
      </w:r>
      <w:proofErr w:type="spellStart"/>
      <w:r w:rsidRPr="00EF1490">
        <w:rPr>
          <w:rFonts w:ascii="Calibri" w:hAnsi="Calibri"/>
          <w:color w:val="000000"/>
          <w:sz w:val="22"/>
          <w:szCs w:val="22"/>
          <w:lang w:val="da-DK"/>
        </w:rPr>
        <w:t>grundlag.DA</w:t>
      </w:r>
      <w:proofErr w:type="spellEnd"/>
      <w:r w:rsidRPr="00EF1490">
        <w:rPr>
          <w:rFonts w:ascii="Calibri" w:hAnsi="Calibri"/>
          <w:color w:val="000000"/>
          <w:sz w:val="22"/>
          <w:szCs w:val="22"/>
          <w:lang w:val="da-DK"/>
        </w:rPr>
        <w:t xml:space="preserve"> 29.3.2014 Den Europæiske Unions Tidende C 92/5</w:t>
      </w: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En kompetent myndighed kan beslutte at anvende generelle regler for at fastlægge sociale eller kvalitative standarder i henhold til national lovgivning. Hvis de generelle regler omfatter kompensation, eller hvis den kompetente myndighed mener, at gennemførelsen af de generelle regler kræver kompensation, skal der ligeledes indgås en eller flere kontrakter om offentlig trafikbetjening, der definerer forpligtelserne og parametrene for kompensationen af deres finansielle nettoeffekt i overensstemmelse med artikel 4 og 6 i forordning (EF) nr. 1370/2007 samt forordningens bilag. </w:t>
      </w:r>
    </w:p>
    <w:p w:rsidR="00EF1490" w:rsidRPr="00EF1490" w:rsidRDefault="00EF1490" w:rsidP="00EF1490">
      <w:pPr>
        <w:pStyle w:val="CM4"/>
        <w:spacing w:before="60" w:after="60"/>
        <w:ind w:left="708"/>
        <w:rPr>
          <w:rFonts w:ascii="Calibri" w:hAnsi="Calibri"/>
          <w:color w:val="000000"/>
          <w:sz w:val="22"/>
          <w:szCs w:val="22"/>
          <w:lang w:val="da-DK"/>
        </w:rPr>
      </w:pPr>
    </w:p>
    <w:p w:rsidR="00EF1490" w:rsidRPr="00EF1490" w:rsidRDefault="00EF1490" w:rsidP="00EF1490">
      <w:pPr>
        <w:pStyle w:val="CM4"/>
        <w:spacing w:before="60" w:after="60"/>
        <w:ind w:left="708"/>
        <w:rPr>
          <w:rFonts w:ascii="Calibri" w:hAnsi="Calibri"/>
          <w:color w:val="000000"/>
          <w:sz w:val="22"/>
          <w:szCs w:val="22"/>
          <w:lang w:val="da-DK"/>
        </w:rPr>
      </w:pPr>
      <w:r w:rsidRPr="00EF1490">
        <w:rPr>
          <w:rFonts w:ascii="Calibri" w:hAnsi="Calibri"/>
          <w:color w:val="000000"/>
          <w:sz w:val="22"/>
          <w:szCs w:val="22"/>
          <w:lang w:val="da-DK"/>
        </w:rPr>
        <w:t xml:space="preserve">2.2.4. </w:t>
      </w:r>
      <w:r w:rsidRPr="00EF1490">
        <w:rPr>
          <w:rFonts w:ascii="Calibri" w:hAnsi="Calibri"/>
          <w:i/>
          <w:iCs/>
          <w:color w:val="000000"/>
          <w:sz w:val="22"/>
          <w:szCs w:val="22"/>
          <w:lang w:val="da-DK"/>
        </w:rPr>
        <w:t xml:space="preserve">Artikel 3, stk. 3: Underretning i henhold til Unionens regler om statsstøtte om generelle regler om maksimumstakstordninger for befordring af elever, studerende, lærlinge og bevægelseshæmmede, som ikke hører under anvendelsesområdet for forordning (EF) nr. 1370/2007 </w:t>
      </w:r>
    </w:p>
    <w:p w:rsidR="00EF1490" w:rsidRDefault="00EF1490" w:rsidP="00EF1490">
      <w:pPr>
        <w:ind w:left="708"/>
        <w:rPr>
          <w:color w:val="1F497D"/>
        </w:rPr>
      </w:pPr>
      <w:r w:rsidRPr="00EF1490">
        <w:rPr>
          <w:color w:val="000000"/>
          <w:lang w:val="da-DK"/>
        </w:rPr>
        <w:t xml:space="preserve">I henhold til artikel 3, stk. 3, kan medlemsstaterne fra anvendelsesområdet for forordning (EF) nr. 1370/2007 udelukke generelle regler om økonomisk kompensation for offentlige serviceforpligtelser, der fastsætter maksimumstakster for befordring af elever, studerende, lærlinge og bevægelseshæmmede. Ønsker en medlemsstat at gøre dette, skal de nationale myndigheder i stedet vurdere traktatens bestemmelser om kompensation, navnlig bestemmelserne vedrørende statsstøtte. </w:t>
      </w:r>
      <w:r>
        <w:rPr>
          <w:color w:val="000000"/>
        </w:rPr>
        <w:t xml:space="preserve">Hvis disse generelle regler </w:t>
      </w:r>
      <w:proofErr w:type="spellStart"/>
      <w:r>
        <w:rPr>
          <w:color w:val="000000"/>
        </w:rPr>
        <w:t>udgør</w:t>
      </w:r>
      <w:proofErr w:type="spellEnd"/>
      <w:r>
        <w:rPr>
          <w:color w:val="000000"/>
        </w:rPr>
        <w:t xml:space="preserve"> statsstøtte, skal medlemsstaten underrette </w:t>
      </w:r>
      <w:proofErr w:type="spellStart"/>
      <w:r>
        <w:rPr>
          <w:color w:val="000000"/>
        </w:rPr>
        <w:t>Kommissionen</w:t>
      </w:r>
      <w:proofErr w:type="spellEnd"/>
      <w:r>
        <w:rPr>
          <w:color w:val="000000"/>
        </w:rPr>
        <w:t xml:space="preserve"> om </w:t>
      </w:r>
      <w:proofErr w:type="spellStart"/>
      <w:r>
        <w:rPr>
          <w:color w:val="000000"/>
        </w:rPr>
        <w:t>reglerne</w:t>
      </w:r>
      <w:proofErr w:type="spellEnd"/>
      <w:r>
        <w:rPr>
          <w:color w:val="000000"/>
        </w:rPr>
        <w:t xml:space="preserve"> i henhold til </w:t>
      </w:r>
      <w:proofErr w:type="spellStart"/>
      <w:r>
        <w:rPr>
          <w:color w:val="000000"/>
        </w:rPr>
        <w:t>artikel</w:t>
      </w:r>
      <w:proofErr w:type="spellEnd"/>
      <w:r>
        <w:rPr>
          <w:color w:val="000000"/>
        </w:rPr>
        <w:t xml:space="preserve"> 108 i TEUF.</w:t>
      </w:r>
    </w:p>
    <w:p w:rsidR="00EF1490" w:rsidRDefault="00EF1490" w:rsidP="00EF1490">
      <w:pPr>
        <w:rPr>
          <w:color w:val="1F497D"/>
        </w:rPr>
      </w:pPr>
    </w:p>
    <w:p w:rsidR="00EF1490" w:rsidRDefault="00EF1490" w:rsidP="00EF1490">
      <w:pPr>
        <w:rPr>
          <w:color w:val="1F497D"/>
        </w:rPr>
      </w:pPr>
      <w:r>
        <w:rPr>
          <w:color w:val="1F497D"/>
        </w:rPr>
        <w:t xml:space="preserve">I avsnitt </w:t>
      </w:r>
      <w:proofErr w:type="gramStart"/>
      <w:r>
        <w:rPr>
          <w:color w:val="1F497D"/>
        </w:rPr>
        <w:t>2.2.2  går</w:t>
      </w:r>
      <w:proofErr w:type="gramEnd"/>
      <w:r>
        <w:rPr>
          <w:color w:val="1F497D"/>
        </w:rPr>
        <w:t xml:space="preserve"> det fram at det er mulig å  lage generelle regler/</w:t>
      </w:r>
      <w:proofErr w:type="spellStart"/>
      <w:r>
        <w:rPr>
          <w:color w:val="1F497D"/>
        </w:rPr>
        <w:t>prisvavtaler</w:t>
      </w:r>
      <w:proofErr w:type="spellEnd"/>
      <w:r>
        <w:rPr>
          <w:color w:val="1F497D"/>
        </w:rPr>
        <w:t xml:space="preserve"> som dekker deler av det område som Ruter har ansvar </w:t>
      </w:r>
      <w:proofErr w:type="spellStart"/>
      <w:r>
        <w:rPr>
          <w:color w:val="1F497D"/>
        </w:rPr>
        <w:t>jfr</w:t>
      </w:r>
      <w:proofErr w:type="spellEnd"/>
      <w:r>
        <w:rPr>
          <w:color w:val="1F497D"/>
        </w:rPr>
        <w:t xml:space="preserve">  følgende formulering (min understreking) slik dere har planlagt.</w:t>
      </w:r>
    </w:p>
    <w:p w:rsidR="00EF1490" w:rsidRPr="00EF1490" w:rsidRDefault="00EF1490" w:rsidP="00EF1490">
      <w:pPr>
        <w:ind w:left="708"/>
        <w:rPr>
          <w:color w:val="1F497D"/>
          <w:lang w:val="da-DK"/>
        </w:rPr>
      </w:pPr>
      <w:r w:rsidRPr="00EF1490">
        <w:rPr>
          <w:color w:val="000000"/>
          <w:lang w:val="da-DK"/>
        </w:rPr>
        <w:t xml:space="preserve">Generelle regler er således foranstaltninger vedrørende en eller flere typer offentlig trafikbetjening med jernbane og ad vej, der uden forskelsbehandling indføres ensidigt af offentlige myndigheder for operatører af offentlig trafikbetjening, eller som er omfattet af kontrakter indgået mellem den kompetente myndighed og operatørerne af offentlig trafikbetjening. Foranstaltningen er begrænset til det geografiske område, som en kompetent myndighed har ansvaret for, </w:t>
      </w:r>
      <w:r w:rsidRPr="00EF1490">
        <w:rPr>
          <w:color w:val="000000"/>
          <w:u w:val="single"/>
          <w:lang w:val="da-DK"/>
        </w:rPr>
        <w:t>men dækker ikke nødvendigvis hele det pågældende geografiske område.</w:t>
      </w:r>
    </w:p>
    <w:p w:rsidR="00EF1490" w:rsidRPr="00EF1490" w:rsidRDefault="00EF1490" w:rsidP="00EF1490">
      <w:pPr>
        <w:rPr>
          <w:color w:val="1F497D"/>
          <w:lang w:val="da-DK"/>
        </w:rPr>
      </w:pPr>
    </w:p>
    <w:p w:rsidR="00EF1490" w:rsidRDefault="00EF1490" w:rsidP="00EF1490">
      <w:pPr>
        <w:rPr>
          <w:color w:val="1F497D"/>
        </w:rPr>
      </w:pPr>
      <w:r>
        <w:rPr>
          <w:color w:val="1F497D"/>
        </w:rPr>
        <w:t xml:space="preserve">I avsnitt 2.2.4 omtales hensynet til statsstøtteregelverket. Det kan hende det er hensiktsmessig å ha dialog med samferdselsdepartementet i denne sammenheng slik </w:t>
      </w:r>
      <w:proofErr w:type="gramStart"/>
      <w:r>
        <w:rPr>
          <w:color w:val="1F497D"/>
        </w:rPr>
        <w:t>at  departementet</w:t>
      </w:r>
      <w:proofErr w:type="gramEnd"/>
      <w:r>
        <w:rPr>
          <w:color w:val="1F497D"/>
        </w:rPr>
        <w:t xml:space="preserve"> kan gjøre en vurdering om de ønsker å underrette ESA</w:t>
      </w:r>
    </w:p>
    <w:p w:rsidR="00EF1490" w:rsidRDefault="00EF1490" w:rsidP="00EF1490">
      <w:pPr>
        <w:rPr>
          <w:color w:val="1F497D"/>
        </w:rPr>
      </w:pPr>
    </w:p>
    <w:p w:rsidR="00EF1490" w:rsidRDefault="00EF1490" w:rsidP="00EF1490">
      <w:pPr>
        <w:rPr>
          <w:color w:val="1F497D"/>
        </w:rPr>
      </w:pPr>
      <w:r>
        <w:rPr>
          <w:color w:val="1F497D"/>
        </w:rPr>
        <w:t>Ring meg gjerne om noe er uklart.</w:t>
      </w:r>
    </w:p>
    <w:p w:rsidR="00EF1490" w:rsidRDefault="00EF1490" w:rsidP="00EF1490">
      <w:pPr>
        <w:rPr>
          <w:color w:val="1F497D"/>
        </w:rPr>
      </w:pPr>
    </w:p>
    <w:p w:rsidR="00EF1490" w:rsidRDefault="00EF1490" w:rsidP="00EF1490">
      <w:pPr>
        <w:rPr>
          <w:color w:val="1F497D"/>
        </w:rPr>
      </w:pPr>
      <w:r>
        <w:rPr>
          <w:color w:val="1F497D"/>
        </w:rPr>
        <w:t>Helsing</w:t>
      </w:r>
    </w:p>
    <w:p w:rsidR="00EF1490" w:rsidRDefault="00EF1490" w:rsidP="00EF1490">
      <w:pPr>
        <w:rPr>
          <w:color w:val="1F497D"/>
        </w:rPr>
      </w:pPr>
      <w:r>
        <w:rPr>
          <w:color w:val="1F497D"/>
        </w:rPr>
        <w:t xml:space="preserve">Terje </w:t>
      </w:r>
    </w:p>
    <w:p w:rsidR="00EF1490" w:rsidRDefault="00EF1490" w:rsidP="00EF1490">
      <w:pPr>
        <w:rPr>
          <w:color w:val="1F497D"/>
        </w:rPr>
      </w:pPr>
    </w:p>
    <w:p w:rsidR="00EF1490" w:rsidRDefault="00EF1490" w:rsidP="00EF1490">
      <w:pPr>
        <w:rPr>
          <w:rFonts w:ascii="Tahoma" w:hAnsi="Tahoma" w:cs="Tahoma"/>
          <w:b/>
          <w:bCs/>
          <w:color w:val="1F497D"/>
          <w:sz w:val="16"/>
          <w:szCs w:val="16"/>
          <w:lang w:eastAsia="nb-NO"/>
        </w:rPr>
      </w:pPr>
      <w:r>
        <w:rPr>
          <w:rFonts w:ascii="Tahoma" w:hAnsi="Tahoma" w:cs="Tahoma"/>
          <w:b/>
          <w:bCs/>
          <w:color w:val="1F497D"/>
          <w:sz w:val="16"/>
          <w:szCs w:val="16"/>
          <w:lang w:eastAsia="nb-NO"/>
        </w:rPr>
        <w:t xml:space="preserve">Terje </w:t>
      </w:r>
      <w:proofErr w:type="spellStart"/>
      <w:r>
        <w:rPr>
          <w:rFonts w:ascii="Tahoma" w:hAnsi="Tahoma" w:cs="Tahoma"/>
          <w:b/>
          <w:bCs/>
          <w:color w:val="1F497D"/>
          <w:sz w:val="16"/>
          <w:szCs w:val="16"/>
          <w:lang w:eastAsia="nb-NO"/>
        </w:rPr>
        <w:t>Sundfjord</w:t>
      </w:r>
      <w:proofErr w:type="spellEnd"/>
    </w:p>
    <w:p w:rsidR="00EF1490" w:rsidRDefault="00EF1490" w:rsidP="00EF1490">
      <w:pPr>
        <w:rPr>
          <w:rFonts w:ascii="Tahoma" w:hAnsi="Tahoma" w:cs="Tahoma"/>
          <w:color w:val="1F497D"/>
          <w:sz w:val="16"/>
          <w:szCs w:val="16"/>
          <w:lang w:eastAsia="nb-NO"/>
        </w:rPr>
      </w:pPr>
      <w:r>
        <w:rPr>
          <w:rFonts w:ascii="Tahoma" w:hAnsi="Tahoma" w:cs="Tahoma"/>
          <w:color w:val="1F497D"/>
          <w:sz w:val="16"/>
          <w:szCs w:val="16"/>
          <w:lang w:eastAsia="nb-NO"/>
        </w:rPr>
        <w:t>Næringspolitisk fagsjef</w:t>
      </w:r>
    </w:p>
    <w:p w:rsidR="00EF1490" w:rsidRDefault="00EF1490" w:rsidP="00EF1490">
      <w:pPr>
        <w:rPr>
          <w:rFonts w:ascii="Tahoma" w:hAnsi="Tahoma" w:cs="Tahoma"/>
          <w:color w:val="1F497D"/>
          <w:sz w:val="16"/>
          <w:szCs w:val="16"/>
          <w:lang w:eastAsia="nb-NO"/>
        </w:rPr>
      </w:pPr>
      <w:r>
        <w:rPr>
          <w:rFonts w:ascii="Tahoma" w:hAnsi="Tahoma" w:cs="Tahoma"/>
          <w:color w:val="1F497D"/>
          <w:sz w:val="16"/>
          <w:szCs w:val="16"/>
          <w:lang w:eastAsia="nb-NO"/>
        </w:rPr>
        <w:t xml:space="preserve">Direkte 23 08 85 93 Mobil 99 22 90 93 </w:t>
      </w:r>
    </w:p>
    <w:p w:rsidR="00EF1490" w:rsidRDefault="00EF1490" w:rsidP="00EF1490">
      <w:pPr>
        <w:rPr>
          <w:rFonts w:ascii="Tahoma" w:hAnsi="Tahoma" w:cs="Tahoma"/>
          <w:color w:val="1F497D"/>
          <w:sz w:val="16"/>
          <w:szCs w:val="16"/>
          <w:lang w:eastAsia="nb-NO"/>
        </w:rPr>
      </w:pPr>
      <w:proofErr w:type="gramStart"/>
      <w:r>
        <w:rPr>
          <w:rFonts w:ascii="Tahoma" w:hAnsi="Tahoma" w:cs="Tahoma"/>
          <w:color w:val="1F497D"/>
          <w:sz w:val="16"/>
          <w:szCs w:val="16"/>
          <w:lang w:eastAsia="nb-NO"/>
        </w:rPr>
        <w:t>e</w:t>
      </w:r>
      <w:proofErr w:type="gramEnd"/>
      <w:r>
        <w:rPr>
          <w:rFonts w:ascii="Tahoma" w:hAnsi="Tahoma" w:cs="Tahoma"/>
          <w:color w:val="1F497D"/>
          <w:sz w:val="16"/>
          <w:szCs w:val="16"/>
          <w:lang w:eastAsia="nb-NO"/>
        </w:rPr>
        <w:t xml:space="preserve">-post </w:t>
      </w:r>
      <w:hyperlink r:id="rId5" w:history="1">
        <w:r>
          <w:rPr>
            <w:rStyle w:val="Hyperkobling"/>
            <w:rFonts w:ascii="Tahoma" w:hAnsi="Tahoma" w:cs="Tahoma"/>
            <w:sz w:val="16"/>
            <w:szCs w:val="16"/>
            <w:lang w:eastAsia="nb-NO"/>
          </w:rPr>
          <w:t>terje.sundfjord@transport.no</w:t>
        </w:r>
      </w:hyperlink>
    </w:p>
    <w:p w:rsidR="00EF1490" w:rsidRDefault="00EF1490" w:rsidP="00EF1490">
      <w:pPr>
        <w:rPr>
          <w:rFonts w:ascii="Tahoma" w:hAnsi="Tahoma" w:cs="Tahoma"/>
          <w:color w:val="1F497D"/>
          <w:sz w:val="16"/>
          <w:szCs w:val="16"/>
          <w:lang w:eastAsia="nb-NO"/>
        </w:rPr>
      </w:pPr>
    </w:p>
    <w:p w:rsidR="00EF1490" w:rsidRDefault="00EF1490" w:rsidP="00EF1490">
      <w:pPr>
        <w:rPr>
          <w:rFonts w:ascii="Tahoma" w:hAnsi="Tahoma" w:cs="Tahoma"/>
          <w:b/>
          <w:bCs/>
          <w:color w:val="1F497D"/>
          <w:sz w:val="16"/>
          <w:szCs w:val="16"/>
          <w:lang w:eastAsia="nb-NO"/>
        </w:rPr>
      </w:pPr>
      <w:r>
        <w:rPr>
          <w:rFonts w:ascii="Tahoma" w:hAnsi="Tahoma" w:cs="Tahoma"/>
          <w:b/>
          <w:bCs/>
          <w:color w:val="1F497D"/>
          <w:sz w:val="16"/>
          <w:szCs w:val="16"/>
          <w:lang w:eastAsia="nb-NO"/>
        </w:rPr>
        <w:t xml:space="preserve">NHO Transport </w:t>
      </w:r>
    </w:p>
    <w:p w:rsidR="00EF1490" w:rsidRDefault="00EF1490" w:rsidP="00EF1490">
      <w:pPr>
        <w:rPr>
          <w:rFonts w:ascii="Tahoma" w:hAnsi="Tahoma" w:cs="Tahoma"/>
          <w:color w:val="1F497D"/>
          <w:sz w:val="16"/>
          <w:szCs w:val="16"/>
          <w:lang w:eastAsia="nb-NO"/>
        </w:rPr>
      </w:pPr>
      <w:r>
        <w:rPr>
          <w:rFonts w:ascii="Tahoma" w:hAnsi="Tahoma" w:cs="Tahoma"/>
          <w:color w:val="1F497D"/>
          <w:sz w:val="16"/>
          <w:szCs w:val="16"/>
          <w:lang w:eastAsia="nb-NO"/>
        </w:rPr>
        <w:t xml:space="preserve">Middelthuns gate 27 Postboks 5477 Majorstuen 0305 Oslo </w:t>
      </w:r>
    </w:p>
    <w:p w:rsidR="00EF1490" w:rsidRDefault="00EF1490" w:rsidP="00EF1490">
      <w:pPr>
        <w:rPr>
          <w:rFonts w:ascii="Tahoma" w:hAnsi="Tahoma" w:cs="Tahoma"/>
          <w:color w:val="1F497D"/>
          <w:sz w:val="16"/>
          <w:szCs w:val="16"/>
          <w:lang w:eastAsia="nb-NO"/>
        </w:rPr>
      </w:pPr>
      <w:r>
        <w:rPr>
          <w:rFonts w:ascii="Tahoma" w:hAnsi="Tahoma" w:cs="Tahoma"/>
          <w:color w:val="1F497D"/>
          <w:sz w:val="16"/>
          <w:szCs w:val="16"/>
          <w:lang w:eastAsia="nb-NO"/>
        </w:rPr>
        <w:t>Telefon: 23 08 86 00 Telefaks: 23 08 86 01</w:t>
      </w:r>
    </w:p>
    <w:p w:rsidR="00EF1490" w:rsidRDefault="00EF1490" w:rsidP="00EF1490">
      <w:pPr>
        <w:rPr>
          <w:rFonts w:ascii="Tahoma" w:hAnsi="Tahoma" w:cs="Tahoma"/>
          <w:color w:val="1F497D"/>
          <w:sz w:val="16"/>
          <w:szCs w:val="16"/>
          <w:lang w:eastAsia="nb-NO"/>
        </w:rPr>
      </w:pPr>
      <w:r>
        <w:rPr>
          <w:rFonts w:ascii="Tahoma" w:hAnsi="Tahoma" w:cs="Tahoma"/>
          <w:color w:val="1F497D"/>
          <w:sz w:val="16"/>
          <w:szCs w:val="16"/>
          <w:lang w:eastAsia="nb-NO"/>
        </w:rPr>
        <w:t xml:space="preserve">Web: </w:t>
      </w:r>
      <w:hyperlink r:id="rId6" w:history="1">
        <w:r>
          <w:rPr>
            <w:rStyle w:val="Hyperkobling"/>
            <w:rFonts w:ascii="Tahoma" w:hAnsi="Tahoma" w:cs="Tahoma"/>
            <w:sz w:val="16"/>
            <w:szCs w:val="16"/>
            <w:lang w:eastAsia="nb-NO"/>
          </w:rPr>
          <w:t>www.transport.no</w:t>
        </w:r>
      </w:hyperlink>
      <w:r>
        <w:rPr>
          <w:rFonts w:ascii="Tahoma" w:hAnsi="Tahoma" w:cs="Tahoma"/>
          <w:color w:val="1F497D"/>
          <w:sz w:val="16"/>
          <w:szCs w:val="16"/>
          <w:lang w:eastAsia="nb-NO"/>
        </w:rPr>
        <w:t xml:space="preserve"> </w:t>
      </w:r>
    </w:p>
    <w:p w:rsidR="00EF1490" w:rsidRDefault="00EF1490" w:rsidP="00EF1490">
      <w:pPr>
        <w:rPr>
          <w:color w:val="1F497D"/>
          <w:lang w:eastAsia="nb-NO"/>
        </w:rPr>
      </w:pPr>
    </w:p>
    <w:p w:rsidR="00EF1490" w:rsidRDefault="00EF1490" w:rsidP="00EF1490">
      <w:pPr>
        <w:rPr>
          <w:rFonts w:ascii="Tahoma" w:hAnsi="Tahoma" w:cs="Tahoma"/>
          <w:color w:val="595959"/>
          <w:sz w:val="16"/>
          <w:szCs w:val="16"/>
          <w:lang w:eastAsia="nb-NO"/>
        </w:rPr>
      </w:pPr>
      <w:r>
        <w:rPr>
          <w:rFonts w:ascii="Tahoma" w:hAnsi="Tahoma" w:cs="Tahoma"/>
          <w:color w:val="595959"/>
          <w:sz w:val="16"/>
          <w:szCs w:val="16"/>
          <w:lang w:eastAsia="nb-NO"/>
        </w:rPr>
        <w:t>Ønsker du å motta nyhetsbrev fra NHO Transport?</w:t>
      </w:r>
    </w:p>
    <w:p w:rsidR="00EF1490" w:rsidRDefault="00EF1490" w:rsidP="00EF1490">
      <w:pPr>
        <w:rPr>
          <w:color w:val="1F497D"/>
          <w:lang w:eastAsia="nb-NO"/>
        </w:rPr>
      </w:pPr>
      <w:hyperlink r:id="rId7" w:history="1">
        <w:r>
          <w:rPr>
            <w:rStyle w:val="Hyperkobling"/>
            <w:rFonts w:ascii="Tahoma" w:hAnsi="Tahoma" w:cs="Tahoma"/>
            <w:sz w:val="16"/>
            <w:szCs w:val="16"/>
            <w:lang w:eastAsia="nb-NO"/>
          </w:rPr>
          <w:t>Klikk her for å melde deg på.</w:t>
        </w:r>
      </w:hyperlink>
    </w:p>
    <w:p w:rsidR="00EF1490" w:rsidRDefault="00EF1490" w:rsidP="00EF1490">
      <w:pPr>
        <w:rPr>
          <w:color w:val="1F497D"/>
        </w:rPr>
      </w:pPr>
    </w:p>
    <w:p w:rsidR="00EF1490" w:rsidRDefault="00EF1490" w:rsidP="00EF1490">
      <w:pPr>
        <w:rPr>
          <w:color w:val="1F497D"/>
        </w:rPr>
      </w:pPr>
      <w:bookmarkStart w:id="0" w:name="_GoBack"/>
      <w:bookmarkEnd w:id="0"/>
    </w:p>
    <w:sectPr w:rsidR="00EF1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UAlbertina">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90"/>
    <w:rsid w:val="0000203D"/>
    <w:rsid w:val="00C24A96"/>
    <w:rsid w:val="00EF1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7E8F0-EC86-488D-B33C-B74970A5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490"/>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EF1490"/>
    <w:rPr>
      <w:color w:val="0000FF"/>
      <w:u w:val="single"/>
    </w:rPr>
  </w:style>
  <w:style w:type="paragraph" w:styleId="Listeavsnitt">
    <w:name w:val="List Paragraph"/>
    <w:basedOn w:val="Normal"/>
    <w:uiPriority w:val="34"/>
    <w:qFormat/>
    <w:rsid w:val="00EF1490"/>
    <w:pPr>
      <w:ind w:left="720"/>
    </w:pPr>
  </w:style>
  <w:style w:type="paragraph" w:customStyle="1" w:styleId="CM4">
    <w:name w:val="CM4"/>
    <w:basedOn w:val="Normal"/>
    <w:uiPriority w:val="99"/>
    <w:rsid w:val="00EF1490"/>
    <w:pPr>
      <w:autoSpaceDE w:val="0"/>
      <w:autoSpaceDN w:val="0"/>
    </w:pPr>
    <w:rPr>
      <w:rFonts w:ascii="EUAlbertina" w:hAnsi="EUAlbertina"/>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nsport.no/abonner_nyhetsbre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nsport.no/" TargetMode="External"/><Relationship Id="rId5" Type="http://schemas.openxmlformats.org/officeDocument/2006/relationships/hyperlink" Target="mailto:jon.stordrange@transport.no" TargetMode="External"/><Relationship Id="rId4" Type="http://schemas.openxmlformats.org/officeDocument/2006/relationships/hyperlink" Target="mailto:terje.sundfjord@transport.no"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5647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Ruter AS</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Korneliussen Rolf</dc:creator>
  <cp:keywords/>
  <dc:description/>
  <cp:lastModifiedBy>Korneliussen Rolf</cp:lastModifiedBy>
  <cp:revision>1</cp:revision>
  <dcterms:created xsi:type="dcterms:W3CDTF">2015-03-26T06:12:00Z</dcterms:created>
  <dcterms:modified xsi:type="dcterms:W3CDTF">2015-03-26T06:13:00Z</dcterms:modified>
</cp:coreProperties>
</file>